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EA0" w:rsidRDefault="00983EA0" w:rsidP="00983EA0">
      <w:pPr>
        <w:rPr>
          <w:rFonts w:ascii="Verdana" w:hAnsi="Verdana"/>
          <w:b/>
        </w:rPr>
      </w:pPr>
      <w:bookmarkStart w:id="0" w:name="_GoBack"/>
      <w:bookmarkEnd w:id="0"/>
      <w:r>
        <w:rPr>
          <w:rFonts w:ascii="Verdana" w:hAnsi="Verdana"/>
          <w:b/>
        </w:rPr>
        <w:t>Programma nascholing “Claimbeo</w:t>
      </w:r>
      <w:r w:rsidR="00962B8C">
        <w:rPr>
          <w:rFonts w:ascii="Verdana" w:hAnsi="Verdana"/>
          <w:b/>
        </w:rPr>
        <w:t>ordeling deel III: Kwaliteit en prognose</w:t>
      </w:r>
      <w:r>
        <w:rPr>
          <w:rFonts w:ascii="Verdana" w:hAnsi="Verdana"/>
          <w:b/>
        </w:rPr>
        <w:t>”</w:t>
      </w:r>
    </w:p>
    <w:p w:rsidR="00983EA0" w:rsidRDefault="00983EA0" w:rsidP="00983EA0">
      <w:pPr>
        <w:rPr>
          <w:rFonts w:ascii="Verdana" w:hAnsi="Verdana"/>
          <w:i/>
        </w:rPr>
      </w:pPr>
      <w:r>
        <w:rPr>
          <w:rFonts w:ascii="Verdana" w:hAnsi="Verdana"/>
          <w:i/>
        </w:rPr>
        <w:t>Cursus wordt gegeven door H. van Amersfoort, geregistreerd verzekeringsarts.</w:t>
      </w:r>
    </w:p>
    <w:p w:rsidR="00544761" w:rsidRDefault="00C564F1" w:rsidP="00983EA0">
      <w:pPr>
        <w:rPr>
          <w:rFonts w:ascii="Verdana" w:hAnsi="Verdana"/>
        </w:rPr>
      </w:pPr>
      <w:r w:rsidRPr="00C564F1">
        <w:rPr>
          <w:rFonts w:ascii="Verdana" w:hAnsi="Verdana"/>
          <w:b/>
        </w:rPr>
        <w:t>Doel van de cursus</w:t>
      </w:r>
      <w:r>
        <w:rPr>
          <w:rFonts w:ascii="Verdana" w:hAnsi="Verdana"/>
        </w:rPr>
        <w:t xml:space="preserve">: </w:t>
      </w:r>
      <w:r w:rsidR="00BB0F57">
        <w:rPr>
          <w:rFonts w:ascii="Verdana" w:hAnsi="Verdana"/>
        </w:rPr>
        <w:t>E</w:t>
      </w:r>
      <w:r w:rsidR="00BB0F57">
        <w:rPr>
          <w:rFonts w:ascii="Verdana" w:hAnsi="Verdana"/>
        </w:rPr>
        <w:t>r wordt steeds vaker gesproken over kwaliteit (rapportage, communicatie, prognose, etc.) terwijl niet echt duidelijk is wat dan bedoeld wordt. Deze cursus verheldert een en ander op dat vlak</w:t>
      </w:r>
      <w:r w:rsidR="00726E54">
        <w:rPr>
          <w:rFonts w:ascii="Verdana" w:hAnsi="Verdana"/>
        </w:rPr>
        <w:t xml:space="preserve"> en draagt bij aan adequate prognosestelling bij de claimbeoordeling</w:t>
      </w:r>
      <w:r w:rsidR="00BB0F57">
        <w:rPr>
          <w:rFonts w:ascii="Verdana" w:hAnsi="Verdana"/>
        </w:rPr>
        <w:t>.</w:t>
      </w:r>
      <w:r w:rsidR="00BB0F57">
        <w:rPr>
          <w:rFonts w:ascii="Verdana" w:hAnsi="Verdana"/>
        </w:rPr>
        <w:t xml:space="preserve"> Het sluit aan op eerdere cursus (claimbeoordeling II) waarin al vereenvoudiging van belastbaarheid en prognose qua begrippenkader werd besproken, maar </w:t>
      </w:r>
      <w:r w:rsidR="00D66F47">
        <w:rPr>
          <w:rFonts w:ascii="Verdana" w:hAnsi="Verdana"/>
        </w:rPr>
        <w:t xml:space="preserve">huidige cursus </w:t>
      </w:r>
      <w:r w:rsidR="00BB0F57">
        <w:rPr>
          <w:rFonts w:ascii="Verdana" w:hAnsi="Verdana"/>
        </w:rPr>
        <w:t xml:space="preserve">is geheel los te volgen.  </w:t>
      </w:r>
    </w:p>
    <w:p w:rsidR="00C564F1" w:rsidRDefault="00544761" w:rsidP="00544761">
      <w:pPr>
        <w:rPr>
          <w:rFonts w:ascii="Verdana" w:hAnsi="Verdana"/>
        </w:rPr>
      </w:pPr>
      <w:r w:rsidRPr="00544761">
        <w:rPr>
          <w:rFonts w:ascii="Verdana" w:hAnsi="Verdana"/>
        </w:rPr>
        <w:t>Voorbereiding voor deze dag:</w:t>
      </w:r>
      <w:r>
        <w:rPr>
          <w:rFonts w:ascii="Verdana" w:hAnsi="Verdana"/>
        </w:rPr>
        <w:t xml:space="preserve"> E</w:t>
      </w:r>
      <w:r w:rsidRPr="00544761">
        <w:rPr>
          <w:rFonts w:ascii="Verdana" w:hAnsi="Verdana"/>
        </w:rPr>
        <w:t>r wordt gevraagd per persoon een voorbeeldcasus in te brengen m.b.t. de manier hoe ze zelf nu de prognose vormgeven. Tijdsinvestering: 1-2 uur.</w:t>
      </w:r>
    </w:p>
    <w:p w:rsidR="00D66F47" w:rsidRDefault="00962B8C" w:rsidP="000C132D">
      <w:pPr>
        <w:rPr>
          <w:rFonts w:ascii="Verdana" w:hAnsi="Verdana"/>
        </w:rPr>
      </w:pPr>
      <w:r w:rsidRPr="000C132D">
        <w:rPr>
          <w:rFonts w:ascii="Verdana" w:hAnsi="Verdana"/>
        </w:rPr>
        <w:t xml:space="preserve">Deel </w:t>
      </w:r>
      <w:r w:rsidR="00D66F47">
        <w:rPr>
          <w:rFonts w:ascii="Verdana" w:hAnsi="Verdana"/>
        </w:rPr>
        <w:t>1</w:t>
      </w:r>
      <w:r w:rsidRPr="000C132D">
        <w:rPr>
          <w:rFonts w:ascii="Verdana" w:hAnsi="Verdana"/>
        </w:rPr>
        <w:t xml:space="preserve"> </w:t>
      </w:r>
      <w:r w:rsidR="00D66F47">
        <w:rPr>
          <w:rFonts w:ascii="Verdana" w:hAnsi="Verdana"/>
        </w:rPr>
        <w:t xml:space="preserve">- </w:t>
      </w:r>
      <w:r w:rsidR="00D66F47" w:rsidRPr="000C132D">
        <w:rPr>
          <w:rFonts w:ascii="Verdana" w:hAnsi="Verdana"/>
        </w:rPr>
        <w:t>120 minuten</w:t>
      </w:r>
      <w:r w:rsidRPr="000C132D">
        <w:rPr>
          <w:rFonts w:ascii="Verdana" w:hAnsi="Verdana"/>
        </w:rPr>
        <w:t xml:space="preserve"> </w:t>
      </w:r>
    </w:p>
    <w:p w:rsidR="00726E54" w:rsidRDefault="00726E54" w:rsidP="00962B8C">
      <w:pPr>
        <w:pStyle w:val="Lijstalinea"/>
        <w:numPr>
          <w:ilvl w:val="0"/>
          <w:numId w:val="1"/>
        </w:numPr>
        <w:rPr>
          <w:rFonts w:ascii="Verdana" w:hAnsi="Verdana"/>
        </w:rPr>
      </w:pPr>
      <w:r w:rsidRPr="00726E54">
        <w:rPr>
          <w:rFonts w:ascii="Verdana" w:hAnsi="Verdana"/>
        </w:rPr>
        <w:t xml:space="preserve">Wetenschappelijk onderzoek op verzekeringsgeneeskundig gebied en onderzoek naar de prognosestelling van verzekeringsartsen in het kader van kwaliteitsvisie (ISO 9001) worden uitgebreid besproken en de consequenties daarvan voor de praktijk. </w:t>
      </w:r>
    </w:p>
    <w:p w:rsidR="00962B8C" w:rsidRDefault="00962B8C" w:rsidP="00962B8C">
      <w:pPr>
        <w:pStyle w:val="Lijstalinea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Uitsplitsing van de verschillende wezenlijke onderdelen (medische toestand, significantie van termijn, kans op verbetering, capaciteit om te werken vs. Verbetering individuele FML-items)</w:t>
      </w:r>
    </w:p>
    <w:p w:rsidR="00962B8C" w:rsidRDefault="00962B8C" w:rsidP="00962B8C">
      <w:pPr>
        <w:pStyle w:val="Lijstalinea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Verband met het </w:t>
      </w:r>
      <w:proofErr w:type="spellStart"/>
      <w:r>
        <w:rPr>
          <w:rFonts w:ascii="Verdana" w:hAnsi="Verdana"/>
        </w:rPr>
        <w:t>Arbeids</w:t>
      </w:r>
      <w:proofErr w:type="spellEnd"/>
      <w:r>
        <w:rPr>
          <w:rFonts w:ascii="Verdana" w:hAnsi="Verdana"/>
        </w:rPr>
        <w:t xml:space="preserve"> Mogelijkheden Advies van de </w:t>
      </w:r>
      <w:r w:rsidRPr="00DB5C96">
        <w:rPr>
          <w:rFonts w:ascii="Verdana" w:hAnsi="Verdana"/>
        </w:rPr>
        <w:t>arbeidsdeskundige</w:t>
      </w:r>
      <w:r>
        <w:rPr>
          <w:rFonts w:ascii="Verdana" w:hAnsi="Verdana"/>
        </w:rPr>
        <w:t xml:space="preserve"> </w:t>
      </w:r>
    </w:p>
    <w:p w:rsidR="00962B8C" w:rsidRDefault="00962B8C" w:rsidP="00962B8C">
      <w:pPr>
        <w:pStyle w:val="Lijstalinea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Plausibiliteit en wegen</w:t>
      </w:r>
    </w:p>
    <w:p w:rsidR="00962B8C" w:rsidRDefault="00962B8C" w:rsidP="00962B8C">
      <w:pPr>
        <w:pStyle w:val="Lijstalinea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Nuanceren plausibiliteit via waardenschaal</w:t>
      </w:r>
    </w:p>
    <w:p w:rsidR="00962B8C" w:rsidRDefault="00962B8C" w:rsidP="00962B8C">
      <w:pPr>
        <w:rPr>
          <w:rFonts w:ascii="Verdana" w:hAnsi="Verdana"/>
        </w:rPr>
      </w:pPr>
      <w:r>
        <w:rPr>
          <w:rFonts w:ascii="Verdana" w:hAnsi="Verdana"/>
        </w:rPr>
        <w:t>Pauze</w:t>
      </w:r>
    </w:p>
    <w:p w:rsidR="00962B8C" w:rsidRPr="000C132D" w:rsidRDefault="00962B8C" w:rsidP="000C132D">
      <w:pPr>
        <w:rPr>
          <w:rFonts w:ascii="Verdana" w:hAnsi="Verdana"/>
        </w:rPr>
      </w:pPr>
      <w:r w:rsidRPr="000C132D">
        <w:rPr>
          <w:rFonts w:ascii="Verdana" w:hAnsi="Verdana"/>
        </w:rPr>
        <w:t>Intermezzo</w:t>
      </w:r>
      <w:r w:rsidR="00D66F47">
        <w:rPr>
          <w:rFonts w:ascii="Verdana" w:hAnsi="Verdana"/>
        </w:rPr>
        <w:t xml:space="preserve"> - 30 minuten:</w:t>
      </w:r>
      <w:r w:rsidRPr="000C132D">
        <w:rPr>
          <w:rFonts w:ascii="Verdana" w:hAnsi="Verdana"/>
        </w:rPr>
        <w:t xml:space="preserve"> Kansen, waarschijnlijkheid en causaliteit </w:t>
      </w:r>
    </w:p>
    <w:p w:rsidR="00D66F47" w:rsidRDefault="00962B8C" w:rsidP="000C132D">
      <w:pPr>
        <w:rPr>
          <w:rFonts w:ascii="Verdana" w:hAnsi="Verdana"/>
        </w:rPr>
      </w:pPr>
      <w:r w:rsidRPr="000C132D">
        <w:rPr>
          <w:rFonts w:ascii="Verdana" w:hAnsi="Verdana"/>
        </w:rPr>
        <w:t xml:space="preserve">Deel </w:t>
      </w:r>
      <w:r w:rsidR="00D66F47">
        <w:rPr>
          <w:rFonts w:ascii="Verdana" w:hAnsi="Verdana"/>
        </w:rPr>
        <w:t xml:space="preserve">2 - 90 minuten (tot 120 minuten) </w:t>
      </w:r>
      <w:r w:rsidRPr="000C132D">
        <w:rPr>
          <w:rFonts w:ascii="Verdana" w:hAnsi="Verdana"/>
        </w:rPr>
        <w:t xml:space="preserve"> </w:t>
      </w:r>
    </w:p>
    <w:p w:rsidR="00962B8C" w:rsidRPr="000C132D" w:rsidRDefault="00962B8C" w:rsidP="00726E54">
      <w:pPr>
        <w:pStyle w:val="Lijstalinea"/>
        <w:numPr>
          <w:ilvl w:val="0"/>
          <w:numId w:val="1"/>
        </w:numPr>
        <w:rPr>
          <w:rFonts w:ascii="Verdana" w:hAnsi="Verdana"/>
        </w:rPr>
      </w:pPr>
      <w:r w:rsidRPr="000C132D">
        <w:rPr>
          <w:rFonts w:ascii="Verdana" w:hAnsi="Verdana"/>
        </w:rPr>
        <w:t>Kwaliteit, wat is het, medische versus claimcriteria. Service kwaliteit versus filosofische kwaliteit, vakmanschap en persoonlijke ontwikkeling, zorgvuldigheid</w:t>
      </w:r>
      <w:r w:rsidR="00726E54">
        <w:rPr>
          <w:rFonts w:ascii="Verdana" w:hAnsi="Verdana"/>
        </w:rPr>
        <w:t xml:space="preserve"> (</w:t>
      </w:r>
      <w:r w:rsidR="00726E54" w:rsidRPr="00726E54">
        <w:rPr>
          <w:rFonts w:ascii="Verdana" w:hAnsi="Verdana"/>
        </w:rPr>
        <w:t>uitgebreide, filosofische expositie over het thema kwaliteit vanuit het perspectief van de arts bezien, in vergelijk met de visie op kwaliteit zoals die wordt neergezet vanuit het perspectief van de organisatie</w:t>
      </w:r>
      <w:r w:rsidR="00726E54">
        <w:rPr>
          <w:rFonts w:ascii="Verdana" w:hAnsi="Verdana"/>
        </w:rPr>
        <w:t>)</w:t>
      </w:r>
    </w:p>
    <w:p w:rsidR="00962B8C" w:rsidRDefault="00962B8C" w:rsidP="00962B8C">
      <w:pPr>
        <w:pStyle w:val="Lijstalinea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Casusvoorbeelden en relatie met proportionaliteitsprincipe en subsidiariteitsprincipe</w:t>
      </w:r>
    </w:p>
    <w:p w:rsidR="00962B8C" w:rsidRDefault="00962B8C" w:rsidP="00962B8C">
      <w:pPr>
        <w:pStyle w:val="Lijstalinea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Principes van excellentie (“hoogste kwaliteit”) en relatie met geneeskunst</w:t>
      </w:r>
    </w:p>
    <w:p w:rsidR="00983EA0" w:rsidRPr="000C132D" w:rsidRDefault="00D66F47" w:rsidP="000C132D">
      <w:pPr>
        <w:rPr>
          <w:rFonts w:ascii="Verdana" w:hAnsi="Verdana"/>
        </w:rPr>
      </w:pPr>
      <w:r w:rsidRPr="00D66F47">
        <w:rPr>
          <w:rFonts w:ascii="Verdana" w:hAnsi="Verdana"/>
        </w:rPr>
        <w:t>A</w:t>
      </w:r>
      <w:r w:rsidR="00983EA0" w:rsidRPr="000C132D">
        <w:rPr>
          <w:rFonts w:ascii="Verdana" w:hAnsi="Verdana"/>
        </w:rPr>
        <w:t>fronding</w:t>
      </w:r>
      <w:r>
        <w:rPr>
          <w:rFonts w:ascii="Verdana" w:hAnsi="Verdana"/>
        </w:rPr>
        <w:t xml:space="preserve"> - 15 minuten</w:t>
      </w:r>
      <w:r w:rsidR="00983EA0" w:rsidRPr="000C132D">
        <w:rPr>
          <w:rFonts w:ascii="Verdana" w:hAnsi="Verdana"/>
        </w:rPr>
        <w:t>:</w:t>
      </w:r>
    </w:p>
    <w:p w:rsidR="00983EA0" w:rsidRDefault="00983EA0" w:rsidP="00983EA0">
      <w:pPr>
        <w:pStyle w:val="Lijstalinea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Vragen/discussie </w:t>
      </w:r>
      <w:proofErr w:type="spellStart"/>
      <w:r>
        <w:rPr>
          <w:rFonts w:ascii="Verdana" w:hAnsi="Verdana"/>
        </w:rPr>
        <w:t>mbt</w:t>
      </w:r>
      <w:proofErr w:type="spellEnd"/>
      <w:r>
        <w:rPr>
          <w:rFonts w:ascii="Verdana" w:hAnsi="Verdana"/>
        </w:rPr>
        <w:t xml:space="preserve"> gebruiken van deze methode bij het casusmateriaal</w:t>
      </w:r>
    </w:p>
    <w:p w:rsidR="00983EA0" w:rsidRDefault="00D66F47" w:rsidP="00983EA0">
      <w:pPr>
        <w:pStyle w:val="Lijstalinea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A</w:t>
      </w:r>
      <w:r w:rsidR="00983EA0">
        <w:rPr>
          <w:rFonts w:ascii="Verdana" w:hAnsi="Verdana"/>
        </w:rPr>
        <w:t>fsluitend woord</w:t>
      </w:r>
    </w:p>
    <w:p w:rsidR="00840667" w:rsidRDefault="00D66F47">
      <w:r w:rsidRPr="00D66F47">
        <w:t>Totale tijdsinvestering 4 uur</w:t>
      </w:r>
      <w:r>
        <w:t xml:space="preserve"> en 15 minuten</w:t>
      </w:r>
      <w:r w:rsidRPr="00D66F47">
        <w:t xml:space="preserve"> </w:t>
      </w:r>
      <w:r>
        <w:t>(</w:t>
      </w:r>
      <w:r w:rsidRPr="00D66F47">
        <w:t xml:space="preserve">tot </w:t>
      </w:r>
      <w:r>
        <w:t>4u en 45 min)</w:t>
      </w:r>
      <w:r w:rsidRPr="00D66F47">
        <w:t>, exclusief voorbereiding en exclusief pauzes</w:t>
      </w:r>
    </w:p>
    <w:sectPr w:rsidR="00840667" w:rsidSect="000C132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8349F9"/>
    <w:multiLevelType w:val="hybridMultilevel"/>
    <w:tmpl w:val="5106CB12"/>
    <w:lvl w:ilvl="0" w:tplc="991EC24C">
      <w:start w:val="27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EA0"/>
    <w:rsid w:val="000C132D"/>
    <w:rsid w:val="000D21E7"/>
    <w:rsid w:val="000E555C"/>
    <w:rsid w:val="001552B6"/>
    <w:rsid w:val="00194163"/>
    <w:rsid w:val="00401B3A"/>
    <w:rsid w:val="00544761"/>
    <w:rsid w:val="0059779C"/>
    <w:rsid w:val="006F2CDF"/>
    <w:rsid w:val="00726E54"/>
    <w:rsid w:val="00784E06"/>
    <w:rsid w:val="007F4A5F"/>
    <w:rsid w:val="00840667"/>
    <w:rsid w:val="00922AC9"/>
    <w:rsid w:val="00962B8C"/>
    <w:rsid w:val="00983EA0"/>
    <w:rsid w:val="00BB0F57"/>
    <w:rsid w:val="00C564F1"/>
    <w:rsid w:val="00D313C7"/>
    <w:rsid w:val="00D66F47"/>
    <w:rsid w:val="00DF4C5A"/>
    <w:rsid w:val="00F72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25AE50-7784-492B-86D5-AE338A2AA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83EA0"/>
    <w:pPr>
      <w:spacing w:line="25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83EA0"/>
    <w:pPr>
      <w:spacing w:after="200" w:line="276" w:lineRule="auto"/>
      <w:ind w:left="720"/>
      <w:contextualSpacing/>
    </w:pPr>
    <w:rPr>
      <w:rFonts w:eastAsiaTheme="minorEastAsia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B0F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B0F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94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Amersfoort, Hugo van (H.)</dc:creator>
  <cp:keywords/>
  <dc:description/>
  <cp:lastModifiedBy>Otte, Christianne (A.J.)</cp:lastModifiedBy>
  <cp:revision>4</cp:revision>
  <dcterms:created xsi:type="dcterms:W3CDTF">2021-04-29T09:31:00Z</dcterms:created>
  <dcterms:modified xsi:type="dcterms:W3CDTF">2021-04-29T10:17:00Z</dcterms:modified>
</cp:coreProperties>
</file>